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48" w:rsidRPr="00EA7FAB" w:rsidRDefault="00EA7FAB">
      <w:pPr>
        <w:rPr>
          <w:b/>
          <w:sz w:val="36"/>
          <w:szCs w:val="36"/>
        </w:rPr>
      </w:pPr>
      <w:r w:rsidRPr="00EA7FAB">
        <w:rPr>
          <w:b/>
          <w:sz w:val="36"/>
          <w:szCs w:val="36"/>
        </w:rPr>
        <w:t xml:space="preserve">Une </w:t>
      </w:r>
      <w:r w:rsidR="00435DF7">
        <w:rPr>
          <w:b/>
          <w:sz w:val="36"/>
          <w:szCs w:val="36"/>
        </w:rPr>
        <w:t>approche</w:t>
      </w:r>
      <w:r w:rsidRPr="00EA7FAB">
        <w:rPr>
          <w:b/>
          <w:sz w:val="36"/>
          <w:szCs w:val="36"/>
        </w:rPr>
        <w:t xml:space="preserve"> révolutionnaire pour </w:t>
      </w:r>
      <w:r>
        <w:rPr>
          <w:b/>
          <w:sz w:val="36"/>
          <w:szCs w:val="36"/>
        </w:rPr>
        <w:t xml:space="preserve">l’étude du </w:t>
      </w:r>
      <w:r w:rsidR="00F32E2E">
        <w:rPr>
          <w:b/>
          <w:sz w:val="36"/>
          <w:szCs w:val="36"/>
        </w:rPr>
        <w:t xml:space="preserve">microbiote </w:t>
      </w:r>
      <w:r w:rsidR="00686D0B">
        <w:rPr>
          <w:b/>
          <w:sz w:val="36"/>
          <w:szCs w:val="36"/>
        </w:rPr>
        <w:t>intestinal</w:t>
      </w:r>
    </w:p>
    <w:p w:rsidR="00EA7FAB" w:rsidRPr="00435DF7" w:rsidRDefault="00EA7FAB" w:rsidP="00435DF7">
      <w:pPr>
        <w:jc w:val="both"/>
        <w:rPr>
          <w:b/>
        </w:rPr>
      </w:pPr>
      <w:r w:rsidRPr="00435DF7">
        <w:rPr>
          <w:b/>
        </w:rPr>
        <w:t xml:space="preserve">Une collaboration internationale </w:t>
      </w:r>
      <w:r w:rsidR="00FC53B4">
        <w:rPr>
          <w:b/>
        </w:rPr>
        <w:t xml:space="preserve">au sein </w:t>
      </w:r>
      <w:r w:rsidR="001252A7">
        <w:rPr>
          <w:b/>
        </w:rPr>
        <w:t xml:space="preserve">du </w:t>
      </w:r>
      <w:r w:rsidR="00FC53B4">
        <w:rPr>
          <w:b/>
        </w:rPr>
        <w:t xml:space="preserve">consortium </w:t>
      </w:r>
      <w:proofErr w:type="spellStart"/>
      <w:r w:rsidR="00FC53B4">
        <w:rPr>
          <w:b/>
        </w:rPr>
        <w:t>MetaHIT</w:t>
      </w:r>
      <w:proofErr w:type="spellEnd"/>
      <w:r w:rsidR="00FC53B4">
        <w:rPr>
          <w:b/>
        </w:rPr>
        <w:t xml:space="preserve"> </w:t>
      </w:r>
      <w:r w:rsidR="00FB05EF">
        <w:rPr>
          <w:b/>
        </w:rPr>
        <w:t>pilotée</w:t>
      </w:r>
      <w:r w:rsidRPr="00435DF7">
        <w:rPr>
          <w:b/>
        </w:rPr>
        <w:t xml:space="preserve"> par l’Inra et impliquant des équipes du CEA, du CNRS et de l’Université d’Evry</w:t>
      </w:r>
      <w:r w:rsidR="00FB05EF">
        <w:rPr>
          <w:b/>
        </w:rPr>
        <w:t>,</w:t>
      </w:r>
      <w:r w:rsidRPr="00435DF7">
        <w:rPr>
          <w:b/>
        </w:rPr>
        <w:t xml:space="preserve"> </w:t>
      </w:r>
      <w:r w:rsidR="00FB05EF">
        <w:rPr>
          <w:b/>
        </w:rPr>
        <w:t>a</w:t>
      </w:r>
      <w:r w:rsidRPr="00435DF7">
        <w:rPr>
          <w:b/>
        </w:rPr>
        <w:t xml:space="preserve"> mis au point une nouvelle méthode pour l’analyse </w:t>
      </w:r>
      <w:r w:rsidR="00FB05EF">
        <w:rPr>
          <w:b/>
        </w:rPr>
        <w:t>du génome global</w:t>
      </w:r>
      <w:r w:rsidR="00B56AE3">
        <w:rPr>
          <w:b/>
        </w:rPr>
        <w:t>,</w:t>
      </w:r>
      <w:r w:rsidRPr="00435DF7">
        <w:rPr>
          <w:b/>
        </w:rPr>
        <w:t xml:space="preserve"> </w:t>
      </w:r>
      <w:r w:rsidR="00B56AE3" w:rsidRPr="00435DF7">
        <w:rPr>
          <w:b/>
        </w:rPr>
        <w:t xml:space="preserve">ou </w:t>
      </w:r>
      <w:proofErr w:type="spellStart"/>
      <w:r w:rsidR="00B56AE3" w:rsidRPr="00435DF7">
        <w:rPr>
          <w:b/>
        </w:rPr>
        <w:t>métagénome</w:t>
      </w:r>
      <w:proofErr w:type="spellEnd"/>
      <w:r w:rsidR="00B56AE3" w:rsidRPr="00435DF7" w:rsidDel="004E563D">
        <w:rPr>
          <w:b/>
        </w:rPr>
        <w:t xml:space="preserve"> </w:t>
      </w:r>
      <w:r w:rsidRPr="00435DF7">
        <w:rPr>
          <w:b/>
        </w:rPr>
        <w:t xml:space="preserve">du </w:t>
      </w:r>
      <w:r w:rsidR="00F32E2E">
        <w:rPr>
          <w:b/>
        </w:rPr>
        <w:t xml:space="preserve">microbiote </w:t>
      </w:r>
      <w:r w:rsidR="00686D0B">
        <w:rPr>
          <w:b/>
        </w:rPr>
        <w:t>intestinal</w:t>
      </w:r>
      <w:r w:rsidR="00686D0B">
        <w:rPr>
          <w:rStyle w:val="Appelnotedebasdep"/>
          <w:b/>
        </w:rPr>
        <w:footnoteReference w:id="1"/>
      </w:r>
      <w:r w:rsidRPr="00435DF7">
        <w:rPr>
          <w:b/>
        </w:rPr>
        <w:t xml:space="preserve">. Cette méthode </w:t>
      </w:r>
      <w:r w:rsidR="00DD37E4">
        <w:rPr>
          <w:b/>
        </w:rPr>
        <w:t>permet</w:t>
      </w:r>
      <w:r w:rsidRPr="00435DF7">
        <w:rPr>
          <w:b/>
        </w:rPr>
        <w:t xml:space="preserve"> de réduire </w:t>
      </w:r>
      <w:r w:rsidR="00E30981">
        <w:rPr>
          <w:b/>
        </w:rPr>
        <w:t xml:space="preserve">considérablement </w:t>
      </w:r>
      <w:r w:rsidRPr="00435DF7">
        <w:rPr>
          <w:b/>
        </w:rPr>
        <w:t>la quantité d’éléments à analyser tout en délivrant des données de haute qualité</w:t>
      </w:r>
      <w:r w:rsidR="00772855">
        <w:rPr>
          <w:b/>
        </w:rPr>
        <w:t xml:space="preserve">, avec des </w:t>
      </w:r>
      <w:r w:rsidRPr="00435DF7">
        <w:rPr>
          <w:b/>
        </w:rPr>
        <w:t xml:space="preserve">résultats </w:t>
      </w:r>
      <w:r w:rsidR="004E563D">
        <w:rPr>
          <w:b/>
        </w:rPr>
        <w:t xml:space="preserve">encore </w:t>
      </w:r>
      <w:r w:rsidRPr="00435DF7">
        <w:rPr>
          <w:b/>
        </w:rPr>
        <w:t>plus précis et plus rapide</w:t>
      </w:r>
      <w:r w:rsidR="00772855">
        <w:rPr>
          <w:b/>
        </w:rPr>
        <w:t>s</w:t>
      </w:r>
      <w:r w:rsidRPr="00435DF7">
        <w:rPr>
          <w:b/>
        </w:rPr>
        <w:t xml:space="preserve"> à obtenir. Les chercheurs ont ainsi pu </w:t>
      </w:r>
      <w:r w:rsidR="00B56AE3">
        <w:rPr>
          <w:b/>
        </w:rPr>
        <w:t>reconstituer</w:t>
      </w:r>
      <w:r w:rsidRPr="00435DF7">
        <w:rPr>
          <w:b/>
        </w:rPr>
        <w:t xml:space="preserve"> le génome </w:t>
      </w:r>
      <w:r w:rsidR="00A20CF8">
        <w:rPr>
          <w:b/>
        </w:rPr>
        <w:t xml:space="preserve">complet </w:t>
      </w:r>
      <w:r w:rsidRPr="00435DF7">
        <w:rPr>
          <w:b/>
        </w:rPr>
        <w:t xml:space="preserve">de </w:t>
      </w:r>
      <w:r w:rsidR="00B7339F">
        <w:rPr>
          <w:b/>
        </w:rPr>
        <w:t>2</w:t>
      </w:r>
      <w:r w:rsidR="002C15B9">
        <w:rPr>
          <w:b/>
        </w:rPr>
        <w:t>38</w:t>
      </w:r>
      <w:r w:rsidRPr="00435DF7">
        <w:rPr>
          <w:b/>
        </w:rPr>
        <w:t xml:space="preserve"> bactéries intestinales </w:t>
      </w:r>
      <w:r w:rsidR="00F32E2E">
        <w:rPr>
          <w:b/>
        </w:rPr>
        <w:t xml:space="preserve">dont </w:t>
      </w:r>
      <w:r w:rsidR="00B7339F">
        <w:rPr>
          <w:b/>
        </w:rPr>
        <w:t>75</w:t>
      </w:r>
      <w:r w:rsidR="00F32E2E">
        <w:rPr>
          <w:b/>
        </w:rPr>
        <w:t xml:space="preserve">% </w:t>
      </w:r>
      <w:r w:rsidR="00D20ED4">
        <w:rPr>
          <w:b/>
        </w:rPr>
        <w:t xml:space="preserve">étaient </w:t>
      </w:r>
      <w:r w:rsidRPr="00435DF7">
        <w:rPr>
          <w:b/>
        </w:rPr>
        <w:t>jusqu’alors inconnues.</w:t>
      </w:r>
      <w:r w:rsidR="00DD37E4">
        <w:rPr>
          <w:b/>
        </w:rPr>
        <w:t xml:space="preserve"> Ces travaux sont publié</w:t>
      </w:r>
      <w:r w:rsidR="00A20CF8">
        <w:rPr>
          <w:b/>
        </w:rPr>
        <w:t>s</w:t>
      </w:r>
      <w:r w:rsidR="00DD37E4">
        <w:rPr>
          <w:b/>
        </w:rPr>
        <w:t xml:space="preserve"> le </w:t>
      </w:r>
      <w:r w:rsidR="00CB03F6">
        <w:rPr>
          <w:b/>
        </w:rPr>
        <w:t>6</w:t>
      </w:r>
      <w:r w:rsidR="00DD37E4">
        <w:rPr>
          <w:b/>
        </w:rPr>
        <w:t xml:space="preserve"> juillet 2014 dans </w:t>
      </w:r>
      <w:r w:rsidR="00DD37E4" w:rsidRPr="00DD37E4">
        <w:rPr>
          <w:b/>
          <w:i/>
        </w:rPr>
        <w:t>Nature</w:t>
      </w:r>
      <w:r w:rsidR="00DD37E4">
        <w:rPr>
          <w:b/>
          <w:i/>
        </w:rPr>
        <w:t xml:space="preserve"> </w:t>
      </w:r>
      <w:proofErr w:type="spellStart"/>
      <w:r w:rsidR="00DD37E4">
        <w:rPr>
          <w:b/>
          <w:i/>
        </w:rPr>
        <w:t>Biotechnology</w:t>
      </w:r>
      <w:proofErr w:type="spellEnd"/>
      <w:r w:rsidR="00DD37E4">
        <w:rPr>
          <w:b/>
        </w:rPr>
        <w:t>.</w:t>
      </w:r>
    </w:p>
    <w:p w:rsidR="00E30981" w:rsidRDefault="00FB05EF" w:rsidP="00743544">
      <w:pPr>
        <w:jc w:val="both"/>
      </w:pPr>
      <w:r>
        <w:t>Les</w:t>
      </w:r>
      <w:r w:rsidR="00E30981">
        <w:t xml:space="preserve"> recherches menées </w:t>
      </w:r>
      <w:r>
        <w:t xml:space="preserve">depuis quelques années </w:t>
      </w:r>
      <w:r w:rsidR="00E30981">
        <w:t xml:space="preserve">sur le microbiote intestinal  </w:t>
      </w:r>
      <w:r w:rsidR="005910F4">
        <w:t>bouleversent totalement notre vision de l’écosystème digestif humain</w:t>
      </w:r>
      <w:r w:rsidR="00E30981">
        <w:t>. En effet, de « simples digesteurs » de nourriture</w:t>
      </w:r>
      <w:r>
        <w:t>, ces bactéries</w:t>
      </w:r>
      <w:r w:rsidR="00E30981">
        <w:t xml:space="preserve"> sont devenues des acteurs majeurs dans la compréhension de certaines maladies telles que l’obésité, </w:t>
      </w:r>
      <w:r>
        <w:t xml:space="preserve">le diabète de type 2, </w:t>
      </w:r>
      <w:r w:rsidR="00E30981">
        <w:t xml:space="preserve">la maladie de </w:t>
      </w:r>
      <w:proofErr w:type="spellStart"/>
      <w:r w:rsidR="00E30981">
        <w:t>Crohn</w:t>
      </w:r>
      <w:proofErr w:type="spellEnd"/>
      <w:r w:rsidR="00E30981">
        <w:t xml:space="preserve">… Des liens directs importants ont </w:t>
      </w:r>
      <w:r>
        <w:t xml:space="preserve">également </w:t>
      </w:r>
      <w:r w:rsidR="00E30981">
        <w:t xml:space="preserve">été </w:t>
      </w:r>
      <w:r w:rsidR="00772855">
        <w:t xml:space="preserve">démontrés </w:t>
      </w:r>
      <w:r w:rsidR="00E30981">
        <w:t xml:space="preserve">entre ces bactéries et le </w:t>
      </w:r>
      <w:r w:rsidR="00772855">
        <w:t xml:space="preserve">système immunitaire, ainsi qu’avec le </w:t>
      </w:r>
      <w:r w:rsidR="00E30981">
        <w:t xml:space="preserve">cerveau. Il est estimé que 100 000 milliards de bactéries peuplent </w:t>
      </w:r>
      <w:r w:rsidR="00772855">
        <w:t>l’</w:t>
      </w:r>
      <w:r w:rsidR="00E30981">
        <w:t>intestin</w:t>
      </w:r>
      <w:r w:rsidR="00772855">
        <w:t xml:space="preserve"> de chaque individu (soit</w:t>
      </w:r>
      <w:r w:rsidR="00E30981">
        <w:t xml:space="preserve"> 10 à 100 fois plus </w:t>
      </w:r>
      <w:r w:rsidR="00772855">
        <w:t xml:space="preserve">que </w:t>
      </w:r>
      <w:r w:rsidR="004640F2">
        <w:t xml:space="preserve">le nombre </w:t>
      </w:r>
      <w:r w:rsidR="00E30981">
        <w:t>de cellules dont est constitué le corps humain</w:t>
      </w:r>
      <w:r w:rsidR="00772855">
        <w:t>)</w:t>
      </w:r>
      <w:r w:rsidR="002C3DAA">
        <w:t xml:space="preserve"> et l</w:t>
      </w:r>
      <w:r w:rsidR="00FB19AF">
        <w:t xml:space="preserve">eur diversité est très </w:t>
      </w:r>
      <w:r w:rsidR="002C3DAA">
        <w:t xml:space="preserve">importante, puisque </w:t>
      </w:r>
      <w:r w:rsidR="00772855">
        <w:t xml:space="preserve">environ un millier d’espèces </w:t>
      </w:r>
      <w:r w:rsidR="00FB19AF">
        <w:t>bactériennes différentes ont pu être distinguées au sein de</w:t>
      </w:r>
      <w:r w:rsidR="005C74D1">
        <w:t xml:space="preserve"> l’ensemble de</w:t>
      </w:r>
      <w:r w:rsidR="00FB19AF">
        <w:t xml:space="preserve">s </w:t>
      </w:r>
      <w:proofErr w:type="spellStart"/>
      <w:r w:rsidR="00FB19AF">
        <w:t>métagénomes</w:t>
      </w:r>
      <w:proofErr w:type="spellEnd"/>
      <w:r w:rsidR="00FB19AF">
        <w:t xml:space="preserve"> humains analysés</w:t>
      </w:r>
      <w:r w:rsidR="00E30981">
        <w:t xml:space="preserve">. </w:t>
      </w:r>
      <w:r w:rsidR="00FB19AF">
        <w:t xml:space="preserve">Or, seulement </w:t>
      </w:r>
      <w:r w:rsidR="00B7339F">
        <w:t>15</w:t>
      </w:r>
      <w:r w:rsidR="00743544">
        <w:t>% de</w:t>
      </w:r>
      <w:r>
        <w:t xml:space="preserve"> ces bactéries </w:t>
      </w:r>
      <w:r w:rsidR="002C3DAA">
        <w:t xml:space="preserve">étant </w:t>
      </w:r>
      <w:r>
        <w:t>connues</w:t>
      </w:r>
      <w:r w:rsidR="005910F4">
        <w:t xml:space="preserve"> (génomes séquencés)</w:t>
      </w:r>
      <w:r w:rsidR="00DD37E4">
        <w:t>,</w:t>
      </w:r>
      <w:r>
        <w:t xml:space="preserve"> </w:t>
      </w:r>
      <w:r w:rsidR="00DD37E4">
        <w:t>l</w:t>
      </w:r>
      <w:r>
        <w:t>’ensemble</w:t>
      </w:r>
      <w:r w:rsidR="00E30981">
        <w:t xml:space="preserve"> de</w:t>
      </w:r>
      <w:r>
        <w:t>s</w:t>
      </w:r>
      <w:r w:rsidR="00E30981">
        <w:t xml:space="preserve"> gènes </w:t>
      </w:r>
      <w:r w:rsidR="00DD37E4">
        <w:t xml:space="preserve">qu’il </w:t>
      </w:r>
      <w:r w:rsidR="005C74D1">
        <w:t xml:space="preserve">restait </w:t>
      </w:r>
      <w:r w:rsidR="00DD37E4">
        <w:t>à</w:t>
      </w:r>
      <w:r w:rsidR="00E30981">
        <w:t xml:space="preserve"> décrypter </w:t>
      </w:r>
      <w:r w:rsidR="005C74D1">
        <w:t>était donc</w:t>
      </w:r>
      <w:r w:rsidR="00DD37E4">
        <w:t xml:space="preserve"> </w:t>
      </w:r>
      <w:r w:rsidR="00E30981">
        <w:t>immense</w:t>
      </w:r>
      <w:r w:rsidR="00132F04">
        <w:t>.</w:t>
      </w:r>
    </w:p>
    <w:p w:rsidR="006C35AD" w:rsidRDefault="00636B3B" w:rsidP="00636B3B">
      <w:pPr>
        <w:jc w:val="both"/>
      </w:pPr>
      <w:r>
        <w:t>Des chercheurs de l’Inra avec des équipes du CEA (</w:t>
      </w:r>
      <w:proofErr w:type="spellStart"/>
      <w:r>
        <w:t>G</w:t>
      </w:r>
      <w:r w:rsidR="00B87CB3">
        <w:t>e</w:t>
      </w:r>
      <w:r>
        <w:t>noscope</w:t>
      </w:r>
      <w:proofErr w:type="spellEnd"/>
      <w:r>
        <w:t xml:space="preserve">), du CNRS, de l’Université d’Evry et des scientifiques étrangers ont élaboré une nouvelle approche permettant de faciliter grandement l’analyse du </w:t>
      </w:r>
      <w:proofErr w:type="spellStart"/>
      <w:r>
        <w:t>métagénome</w:t>
      </w:r>
      <w:proofErr w:type="spellEnd"/>
      <w:r>
        <w:t xml:space="preserve"> intestinal tout en améliorant la qualité des données obtenues. Pour y parvenir, ils sont partis d’une hypothèse simple : </w:t>
      </w:r>
    </w:p>
    <w:p w:rsidR="00F8361C" w:rsidRDefault="00B71013" w:rsidP="00315440">
      <w:pPr>
        <w:pStyle w:val="Paragraphedeliste"/>
        <w:numPr>
          <w:ilvl w:val="0"/>
          <w:numId w:val="1"/>
        </w:numPr>
        <w:jc w:val="both"/>
      </w:pPr>
      <w:r>
        <w:t>pour chacune des centaines d’</w:t>
      </w:r>
      <w:r w:rsidR="006C35AD">
        <w:t>espèces bactériennes qu</w:t>
      </w:r>
      <w:r>
        <w:t>’un</w:t>
      </w:r>
      <w:r w:rsidR="006C35AD">
        <w:t xml:space="preserve"> individu abrite dans son tube digestif l’abondance des </w:t>
      </w:r>
      <w:r>
        <w:t xml:space="preserve">tous ses </w:t>
      </w:r>
      <w:r w:rsidR="006C35AD">
        <w:t xml:space="preserve">gènes est constante, puisque chaque </w:t>
      </w:r>
      <w:r>
        <w:t>cellule</w:t>
      </w:r>
      <w:r w:rsidR="006C35AD">
        <w:t xml:space="preserve"> d’une même espèce possède </w:t>
      </w:r>
      <w:r w:rsidR="002C59FC">
        <w:t>l</w:t>
      </w:r>
      <w:r>
        <w:t>es</w:t>
      </w:r>
      <w:r w:rsidR="002C59FC">
        <w:t xml:space="preserve"> même </w:t>
      </w:r>
      <w:r w:rsidR="006C35AD">
        <w:t>gènes</w:t>
      </w:r>
      <w:r w:rsidR="00B87CB3">
        <w:t xml:space="preserve"> </w:t>
      </w:r>
    </w:p>
    <w:p w:rsidR="00F8361C" w:rsidRDefault="006C35AD" w:rsidP="00315440">
      <w:pPr>
        <w:pStyle w:val="Paragraphedeliste"/>
        <w:numPr>
          <w:ilvl w:val="0"/>
          <w:numId w:val="1"/>
        </w:numPr>
        <w:jc w:val="both"/>
      </w:pPr>
      <w:r>
        <w:t>entre individus, l’abondance relative de différentes espèces varie fortement, entre 10 et 1000 fois, et, bien entendu, l’abondance de</w:t>
      </w:r>
      <w:r w:rsidR="002C59FC">
        <w:t>s</w:t>
      </w:r>
      <w:r>
        <w:t xml:space="preserve"> gènes que chacune abrite </w:t>
      </w:r>
      <w:proofErr w:type="gramStart"/>
      <w:r>
        <w:t>varie</w:t>
      </w:r>
      <w:proofErr w:type="gramEnd"/>
      <w:r>
        <w:t xml:space="preserve"> d’autant</w:t>
      </w:r>
    </w:p>
    <w:p w:rsidR="00F8361C" w:rsidRDefault="002C59FC" w:rsidP="00315440">
      <w:pPr>
        <w:pStyle w:val="Paragraphedeliste"/>
        <w:numPr>
          <w:ilvl w:val="0"/>
          <w:numId w:val="1"/>
        </w:numPr>
        <w:jc w:val="both"/>
      </w:pPr>
      <w:r>
        <w:t>en comparant cette abondance de gènes bactériens entre différents individus, il est possible d’affirmer que les gènes dont l’abondance varie similairement appartiennent à une même espèce bactérienne</w:t>
      </w:r>
    </w:p>
    <w:p w:rsidR="00E9427C" w:rsidRDefault="00CE7997" w:rsidP="00357BC2">
      <w:pPr>
        <w:jc w:val="both"/>
      </w:pPr>
      <w:r>
        <w:t xml:space="preserve">L’analyse de 396 échantillons de selles d’individus danois et espagnols a permis de </w:t>
      </w:r>
      <w:r w:rsidR="00D93F1C">
        <w:t xml:space="preserve">répartir </w:t>
      </w:r>
      <w:r w:rsidR="008961D5">
        <w:t xml:space="preserve">les </w:t>
      </w:r>
      <w:r w:rsidR="00B56AE3">
        <w:t xml:space="preserve">3,9 </w:t>
      </w:r>
      <w:r w:rsidR="008961D5">
        <w:t>millions</w:t>
      </w:r>
      <w:r w:rsidR="00E9427C">
        <w:t xml:space="preserve"> de gènes </w:t>
      </w:r>
      <w:r w:rsidR="00B56AE3">
        <w:t xml:space="preserve">du catalogue </w:t>
      </w:r>
      <w:r w:rsidR="00E9427C">
        <w:t xml:space="preserve">dans </w:t>
      </w:r>
      <w:r w:rsidR="0075292C">
        <w:t xml:space="preserve">7381 </w:t>
      </w:r>
      <w:r w:rsidR="00E9427C">
        <w:t>groupes</w:t>
      </w:r>
      <w:r w:rsidR="00477AC0">
        <w:t xml:space="preserve"> de </w:t>
      </w:r>
      <w:proofErr w:type="spellStart"/>
      <w:r w:rsidR="00477AC0">
        <w:t>co</w:t>
      </w:r>
      <w:proofErr w:type="spellEnd"/>
      <w:r w:rsidR="00477AC0">
        <w:t>-abondance de gènes</w:t>
      </w:r>
      <w:r w:rsidR="00E9427C">
        <w:t>. Environ 10%</w:t>
      </w:r>
      <w:r>
        <w:t xml:space="preserve"> de ces </w:t>
      </w:r>
      <w:r w:rsidR="00445DEE">
        <w:t xml:space="preserve">groupes </w:t>
      </w:r>
      <w:r w:rsidR="00C10A75">
        <w:t xml:space="preserve">(741) </w:t>
      </w:r>
      <w:r w:rsidR="00E9427C">
        <w:t xml:space="preserve">correspondaient à des espèces bactériennes, appelées espèces </w:t>
      </w:r>
      <w:proofErr w:type="spellStart"/>
      <w:r w:rsidR="00E9427C">
        <w:t>métagénomiques</w:t>
      </w:r>
      <w:proofErr w:type="spellEnd"/>
      <w:r w:rsidR="00E9427C">
        <w:t xml:space="preserve"> (MGS)</w:t>
      </w:r>
      <w:r w:rsidR="00181EA0">
        <w:t xml:space="preserve"> ; </w:t>
      </w:r>
      <w:r w:rsidR="00D93F1C">
        <w:t>85% d’entre elles constituaient des espèces bactériennes inconnues (soit ~630 espèces). L</w:t>
      </w:r>
      <w:r w:rsidR="00181EA0">
        <w:t xml:space="preserve">es </w:t>
      </w:r>
      <w:r w:rsidR="00D93F1C">
        <w:t xml:space="preserve">90% restant </w:t>
      </w:r>
      <w:r w:rsidR="00445DEE">
        <w:t xml:space="preserve">correspondaient à </w:t>
      </w:r>
      <w:r>
        <w:t xml:space="preserve">des </w:t>
      </w:r>
      <w:r w:rsidR="00D93F1C">
        <w:t xml:space="preserve">groupes de </w:t>
      </w:r>
      <w:r>
        <w:t>virus</w:t>
      </w:r>
      <w:r w:rsidR="008961D5">
        <w:t xml:space="preserve"> bactériens (</w:t>
      </w:r>
      <w:r w:rsidR="00B7339F">
        <w:t>848</w:t>
      </w:r>
      <w:r w:rsidR="00445DEE">
        <w:t xml:space="preserve"> </w:t>
      </w:r>
      <w:r w:rsidR="00C10A75">
        <w:t>bactériophages</w:t>
      </w:r>
      <w:r w:rsidR="007C432C">
        <w:t xml:space="preserve"> ont été découverts</w:t>
      </w:r>
      <w:r w:rsidR="008961D5">
        <w:t>), de plasmides</w:t>
      </w:r>
      <w:r w:rsidR="00445DEE">
        <w:t xml:space="preserve"> (fragments d’ADN </w:t>
      </w:r>
      <w:r w:rsidR="00477AC0">
        <w:t xml:space="preserve">bactériens </w:t>
      </w:r>
      <w:r w:rsidR="00445DEE">
        <w:t>circulaires)</w:t>
      </w:r>
      <w:r w:rsidR="008961D5">
        <w:t xml:space="preserve"> ou encore </w:t>
      </w:r>
      <w:r w:rsidR="00A425ED">
        <w:t>d</w:t>
      </w:r>
      <w:r w:rsidR="008961D5">
        <w:t>es gènes qui protègent les bactéries d’attaque</w:t>
      </w:r>
      <w:r w:rsidR="00D20ED4">
        <w:t>s</w:t>
      </w:r>
      <w:r w:rsidR="008961D5">
        <w:t xml:space="preserve"> virale</w:t>
      </w:r>
      <w:r w:rsidR="00D20ED4">
        <w:t>s</w:t>
      </w:r>
      <w:r w:rsidR="00C10A75">
        <w:t xml:space="preserve"> (</w:t>
      </w:r>
      <w:r w:rsidR="007C432C">
        <w:t xml:space="preserve">connus sous le nom de </w:t>
      </w:r>
      <w:r w:rsidR="00445DEE">
        <w:t xml:space="preserve">séquences </w:t>
      </w:r>
      <w:r w:rsidR="007C432C">
        <w:t>CRISPR</w:t>
      </w:r>
      <w:r w:rsidR="00C10A75">
        <w:t>).</w:t>
      </w:r>
      <w:r w:rsidR="007C432C">
        <w:t xml:space="preserve"> </w:t>
      </w:r>
    </w:p>
    <w:p w:rsidR="00181EA0" w:rsidRDefault="00CE7997" w:rsidP="00357BC2">
      <w:pPr>
        <w:jc w:val="both"/>
      </w:pPr>
      <w:r>
        <w:lastRenderedPageBreak/>
        <w:t>Grâce à</w:t>
      </w:r>
      <w:r w:rsidR="00181EA0">
        <w:t xml:space="preserve"> cette nouvelle approche, l</w:t>
      </w:r>
      <w:r w:rsidR="0050493C">
        <w:t xml:space="preserve">es chercheurs ont réussi à </w:t>
      </w:r>
      <w:r w:rsidR="00AA1CBC">
        <w:t>reconstituer</w:t>
      </w:r>
      <w:r w:rsidR="0050493C">
        <w:t xml:space="preserve"> le génome </w:t>
      </w:r>
      <w:r w:rsidR="00FC370A">
        <w:t xml:space="preserve">complet </w:t>
      </w:r>
      <w:r w:rsidR="00AA1CBC">
        <w:t>de</w:t>
      </w:r>
      <w:r>
        <w:t xml:space="preserve"> </w:t>
      </w:r>
      <w:r w:rsidR="00B7339F">
        <w:t>238</w:t>
      </w:r>
      <w:r w:rsidR="007C432C">
        <w:t xml:space="preserve"> </w:t>
      </w:r>
      <w:r w:rsidR="00F2363D">
        <w:t xml:space="preserve">MGS </w:t>
      </w:r>
      <w:r>
        <w:t>inconnues</w:t>
      </w:r>
      <w:r w:rsidR="00B7339F">
        <w:t>, sans</w:t>
      </w:r>
      <w:r w:rsidR="0036775B">
        <w:t xml:space="preserve"> </w:t>
      </w:r>
      <w:r w:rsidR="0050493C">
        <w:t xml:space="preserve">culture préalable de ces bactéries. </w:t>
      </w:r>
      <w:r w:rsidR="00181EA0">
        <w:t>V</w:t>
      </w:r>
      <w:r w:rsidR="00181EA0" w:rsidRPr="002E6DA0">
        <w:t xml:space="preserve">ivant sans oxygène, dans un environnement difficile à caractériser et à reproduire, la plupart des bactéries </w:t>
      </w:r>
      <w:r w:rsidR="00FC370A">
        <w:t xml:space="preserve">intestinales </w:t>
      </w:r>
      <w:r w:rsidR="00181EA0" w:rsidRPr="002E6DA0">
        <w:t>ne peuvent pas être cultivées en laboratoire.</w:t>
      </w:r>
      <w:r w:rsidR="0036775B" w:rsidRPr="0036775B">
        <w:t xml:space="preserve"> </w:t>
      </w:r>
      <w:r w:rsidR="00FC370A">
        <w:t>Or j</w:t>
      </w:r>
      <w:r w:rsidR="0036775B">
        <w:t xml:space="preserve">usqu’à présent, l’analyse du </w:t>
      </w:r>
      <w:proofErr w:type="spellStart"/>
      <w:r w:rsidR="0036775B">
        <w:t>métagénome</w:t>
      </w:r>
      <w:proofErr w:type="spellEnd"/>
      <w:r w:rsidR="0036775B">
        <w:t xml:space="preserve"> se basait sur la comparaison </w:t>
      </w:r>
      <w:r w:rsidR="00AD287C">
        <w:t xml:space="preserve">entre </w:t>
      </w:r>
      <w:r w:rsidR="0036775B">
        <w:t xml:space="preserve">des gènes détectés dans un échantillon </w:t>
      </w:r>
      <w:r w:rsidR="00A90FDF">
        <w:t>et des gènes répertoriés dans l</w:t>
      </w:r>
      <w:r w:rsidR="00AD287C">
        <w:t xml:space="preserve">es </w:t>
      </w:r>
      <w:r w:rsidR="0036775B">
        <w:t>catalogues de gènes de bactéries connues et cultivables en laboratoire (</w:t>
      </w:r>
      <w:r w:rsidR="00AD287C">
        <w:t xml:space="preserve">soit </w:t>
      </w:r>
      <w:r w:rsidR="007C432C">
        <w:t>15</w:t>
      </w:r>
      <w:r w:rsidR="0036775B">
        <w:t xml:space="preserve"> % des bactéries intestinales)</w:t>
      </w:r>
      <w:r w:rsidR="00C10A75">
        <w:t>, ce qui rendait impossible l’assignation des gènes des bactéries non cultivables</w:t>
      </w:r>
      <w:r w:rsidR="0036775B">
        <w:t>.</w:t>
      </w:r>
    </w:p>
    <w:p w:rsidR="00D9472D" w:rsidRDefault="00D9472D" w:rsidP="001D357E">
      <w:pPr>
        <w:jc w:val="both"/>
      </w:pPr>
      <w:r>
        <w:t xml:space="preserve">Les auteurs ont également démontré plus de 800 relations de dépendance </w:t>
      </w:r>
      <w:r w:rsidR="00123D78">
        <w:t xml:space="preserve">au sein des 7381 groupes de </w:t>
      </w:r>
      <w:proofErr w:type="spellStart"/>
      <w:r w:rsidR="00123D78">
        <w:t>co</w:t>
      </w:r>
      <w:proofErr w:type="spellEnd"/>
      <w:r w:rsidR="00123D78">
        <w:t>-abondance de gènes</w:t>
      </w:r>
      <w:r>
        <w:t xml:space="preserve">, comme c’est le cas par exemple pour les </w:t>
      </w:r>
      <w:r w:rsidR="00F2363D">
        <w:t>bactério</w:t>
      </w:r>
      <w:r>
        <w:t>phages nécessitant la présence de bactérie</w:t>
      </w:r>
      <w:r w:rsidR="00F2363D">
        <w:t>s</w:t>
      </w:r>
      <w:r>
        <w:t xml:space="preserve"> pour survivre. Ces dépendances permettent de mieux comprendre les mécanismes de survie d’un micro-organisme dans son écosystème. C’est aussi la première fois qu’une analyse permet </w:t>
      </w:r>
      <w:r w:rsidR="00F2363D">
        <w:t xml:space="preserve">de révéler </w:t>
      </w:r>
      <w:r>
        <w:t xml:space="preserve">les relations entre les différentes entités biologiques du microbiote intestinal, ce qui facilitera leur détection, </w:t>
      </w:r>
      <w:r w:rsidR="001D357E">
        <w:t xml:space="preserve">leur </w:t>
      </w:r>
      <w:r>
        <w:t xml:space="preserve">isolement et </w:t>
      </w:r>
      <w:r w:rsidR="001D357E">
        <w:t xml:space="preserve">leur </w:t>
      </w:r>
      <w:r>
        <w:t>culture</w:t>
      </w:r>
      <w:r w:rsidR="00B56AE3">
        <w:t>, mais aussi la compréhension du fonctionnement global de la population microbienne intestinale.</w:t>
      </w:r>
    </w:p>
    <w:p w:rsidR="000A306D" w:rsidRDefault="004827AF" w:rsidP="00357BC2">
      <w:pPr>
        <w:jc w:val="both"/>
      </w:pPr>
      <w:r>
        <w:t>Cette étude apporte une vision inégalée et très détaillée des communautés microbiennes chez l’homme</w:t>
      </w:r>
      <w:r w:rsidR="000A306D">
        <w:t>.</w:t>
      </w:r>
      <w:r>
        <w:t xml:space="preserve"> </w:t>
      </w:r>
      <w:r w:rsidR="000A306D">
        <w:t>La méthode développée</w:t>
      </w:r>
      <w:r>
        <w:t xml:space="preserve"> perm</w:t>
      </w:r>
      <w:r w:rsidR="000A306D">
        <w:t>et</w:t>
      </w:r>
      <w:r>
        <w:t xml:space="preserve"> de grandement simplifier l’analyse des gènes du microbiote intestinal : il est désormais possible d’étudier seulement quelques milliers d’éléments </w:t>
      </w:r>
      <w:r w:rsidR="00B10252">
        <w:t xml:space="preserve">génétiques </w:t>
      </w:r>
      <w:r>
        <w:t>ou centaines d’espèces, au lieu des millions de gènes qu</w:t>
      </w:r>
      <w:r w:rsidR="00B10252">
        <w:t>i</w:t>
      </w:r>
      <w:r>
        <w:t xml:space="preserve"> constitue</w:t>
      </w:r>
      <w:r w:rsidR="00B10252">
        <w:t>nt</w:t>
      </w:r>
      <w:r>
        <w:t xml:space="preserve"> le </w:t>
      </w:r>
      <w:proofErr w:type="spellStart"/>
      <w:r>
        <w:t>métagénome</w:t>
      </w:r>
      <w:proofErr w:type="spellEnd"/>
      <w:r>
        <w:t xml:space="preserve">. Ceci améliore </w:t>
      </w:r>
      <w:r w:rsidR="000A306D">
        <w:t xml:space="preserve">aussi </w:t>
      </w:r>
      <w:r>
        <w:t>considérablement la force et la précision des analyses statistiques.</w:t>
      </w:r>
    </w:p>
    <w:p w:rsidR="00357BC2" w:rsidRDefault="00357BC2" w:rsidP="00357BC2">
      <w:pPr>
        <w:jc w:val="both"/>
      </w:pPr>
    </w:p>
    <w:p w:rsidR="00357BC2" w:rsidRPr="00357BC2" w:rsidRDefault="00357BC2" w:rsidP="00357BC2">
      <w:pPr>
        <w:jc w:val="both"/>
        <w:rPr>
          <w:b/>
        </w:rPr>
      </w:pPr>
      <w:r w:rsidRPr="00357BC2">
        <w:rPr>
          <w:b/>
        </w:rPr>
        <w:t>Référence</w:t>
      </w:r>
    </w:p>
    <w:p w:rsidR="00357BC2" w:rsidRPr="00CE4399" w:rsidRDefault="00357BC2" w:rsidP="00357BC2">
      <w:pPr>
        <w:jc w:val="both"/>
      </w:pPr>
      <w:r w:rsidRPr="00357BC2">
        <w:t xml:space="preserve">Henrik </w:t>
      </w:r>
      <w:proofErr w:type="spellStart"/>
      <w:r w:rsidRPr="00357BC2">
        <w:t>Bjørn</w:t>
      </w:r>
      <w:proofErr w:type="spellEnd"/>
      <w:r w:rsidRPr="00357BC2">
        <w:t xml:space="preserve"> Nielsen</w:t>
      </w:r>
      <w:r>
        <w:t xml:space="preserve"> et al. </w:t>
      </w:r>
      <w:r w:rsidR="00D740A0" w:rsidRPr="00D740A0">
        <w:rPr>
          <w:b/>
          <w:lang w:val="en-US"/>
        </w:rPr>
        <w:t xml:space="preserve">Identification and assembly of genomes and genetic elements in complex metagenomics </w:t>
      </w:r>
      <w:r w:rsidR="00C00255">
        <w:rPr>
          <w:b/>
          <w:lang w:val="en-US"/>
        </w:rPr>
        <w:t>s</w:t>
      </w:r>
      <w:r w:rsidR="00D740A0" w:rsidRPr="00D740A0">
        <w:rPr>
          <w:b/>
          <w:lang w:val="en-US"/>
        </w:rPr>
        <w:t>amples without using reference genomes</w:t>
      </w:r>
      <w:r w:rsidRPr="00D740A0">
        <w:rPr>
          <w:lang w:val="en-US"/>
        </w:rPr>
        <w:t xml:space="preserve">. </w:t>
      </w:r>
      <w:r w:rsidRPr="00CE4399">
        <w:rPr>
          <w:i/>
        </w:rPr>
        <w:t xml:space="preserve">Nature </w:t>
      </w:r>
      <w:proofErr w:type="spellStart"/>
      <w:r w:rsidRPr="00CE4399">
        <w:rPr>
          <w:i/>
        </w:rPr>
        <w:t>Biotechnology</w:t>
      </w:r>
      <w:proofErr w:type="spellEnd"/>
      <w:r w:rsidR="00D740A0">
        <w:t>, 6</w:t>
      </w:r>
      <w:r w:rsidRPr="00CE4399">
        <w:t xml:space="preserve"> jui</w:t>
      </w:r>
      <w:r w:rsidR="00BE6A09">
        <w:t>llet 2014. DOI: 10.1038/</w:t>
      </w:r>
      <w:proofErr w:type="spellStart"/>
      <w:r w:rsidR="00BE6A09">
        <w:t>nbt</w:t>
      </w:r>
      <w:proofErr w:type="spellEnd"/>
      <w:r w:rsidR="00BE6A09">
        <w:t>.2939</w:t>
      </w:r>
    </w:p>
    <w:p w:rsidR="00357BC2" w:rsidRPr="00357BC2" w:rsidRDefault="00357BC2" w:rsidP="00357BC2">
      <w:pPr>
        <w:jc w:val="both"/>
        <w:rPr>
          <w:b/>
        </w:rPr>
      </w:pPr>
      <w:r w:rsidRPr="00357BC2">
        <w:rPr>
          <w:b/>
        </w:rPr>
        <w:t>Contact scientifique</w:t>
      </w:r>
    </w:p>
    <w:p w:rsidR="00357BC2" w:rsidRDefault="00357BC2" w:rsidP="00357BC2">
      <w:pPr>
        <w:spacing w:after="0"/>
      </w:pPr>
      <w:r w:rsidRPr="00DD2BDF">
        <w:t>Stanislav-</w:t>
      </w:r>
      <w:proofErr w:type="spellStart"/>
      <w:r w:rsidRPr="00DD2BDF">
        <w:t>Dusko</w:t>
      </w:r>
      <w:proofErr w:type="spellEnd"/>
      <w:r w:rsidRPr="00DD2BDF">
        <w:t xml:space="preserve"> Ehrlich</w:t>
      </w:r>
    </w:p>
    <w:p w:rsidR="00357BC2" w:rsidRDefault="00357BC2" w:rsidP="00357BC2">
      <w:pPr>
        <w:spacing w:after="0"/>
      </w:pPr>
      <w:r w:rsidRPr="00DD2BDF">
        <w:t>Tél : 01 34 65 25 1</w:t>
      </w:r>
      <w:r>
        <w:t xml:space="preserve">0 ou </w:t>
      </w:r>
      <w:hyperlink r:id="rId8" w:history="1">
        <w:r w:rsidRPr="00CD3B65">
          <w:rPr>
            <w:rStyle w:val="Lienhypertexte"/>
          </w:rPr>
          <w:t>Dusko.Ehrlich@jouy.inra.fr</w:t>
        </w:r>
      </w:hyperlink>
      <w:r>
        <w:t xml:space="preserve"> </w:t>
      </w:r>
    </w:p>
    <w:p w:rsidR="00B84006" w:rsidRPr="00DD2BDF" w:rsidRDefault="00B84006" w:rsidP="00357BC2">
      <w:pPr>
        <w:spacing w:after="0"/>
      </w:pPr>
      <w:proofErr w:type="spellStart"/>
      <w:r>
        <w:t>MetaGenoPolis</w:t>
      </w:r>
      <w:bookmarkStart w:id="0" w:name="_GoBack"/>
      <w:bookmarkEnd w:id="0"/>
      <w:proofErr w:type="spellEnd"/>
    </w:p>
    <w:p w:rsidR="00357BC2" w:rsidRPr="00DD2BDF" w:rsidRDefault="00357BC2" w:rsidP="00357BC2">
      <w:pPr>
        <w:spacing w:after="0"/>
      </w:pPr>
      <w:r w:rsidRPr="00DD2BDF">
        <w:t xml:space="preserve">Département </w:t>
      </w:r>
      <w:r>
        <w:t xml:space="preserve">scientifique </w:t>
      </w:r>
      <w:r w:rsidRPr="00DD2BDF">
        <w:t>Micr</w:t>
      </w:r>
      <w:r>
        <w:t>obiologie et Chaîne Alimentaire</w:t>
      </w:r>
    </w:p>
    <w:p w:rsidR="00357BC2" w:rsidRPr="00DD2BDF" w:rsidRDefault="00357BC2" w:rsidP="00357BC2">
      <w:pPr>
        <w:spacing w:after="0"/>
      </w:pPr>
      <w:r w:rsidRPr="00DD2BDF">
        <w:t>Centre INRA de Jouy-en-Josas</w:t>
      </w:r>
    </w:p>
    <w:p w:rsidR="00357BC2" w:rsidRDefault="00357BC2" w:rsidP="00357BC2">
      <w:pPr>
        <w:jc w:val="both"/>
      </w:pPr>
    </w:p>
    <w:sectPr w:rsidR="00357BC2" w:rsidSect="00F7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2B" w:rsidRDefault="0042512B" w:rsidP="00686D0B">
      <w:pPr>
        <w:spacing w:after="0" w:line="240" w:lineRule="auto"/>
      </w:pPr>
      <w:r>
        <w:separator/>
      </w:r>
    </w:p>
  </w:endnote>
  <w:endnote w:type="continuationSeparator" w:id="0">
    <w:p w:rsidR="0042512B" w:rsidRDefault="0042512B" w:rsidP="0068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2B" w:rsidRDefault="0042512B" w:rsidP="00686D0B">
      <w:pPr>
        <w:spacing w:after="0" w:line="240" w:lineRule="auto"/>
      </w:pPr>
      <w:r>
        <w:separator/>
      </w:r>
    </w:p>
  </w:footnote>
  <w:footnote w:type="continuationSeparator" w:id="0">
    <w:p w:rsidR="0042512B" w:rsidRDefault="0042512B" w:rsidP="00686D0B">
      <w:pPr>
        <w:spacing w:after="0" w:line="240" w:lineRule="auto"/>
      </w:pPr>
      <w:r>
        <w:continuationSeparator/>
      </w:r>
    </w:p>
  </w:footnote>
  <w:footnote w:id="1">
    <w:p w:rsidR="000D1DBA" w:rsidRDefault="000D1DB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5F64CD">
        <w:t xml:space="preserve">Le microbiote intestinal est l’ensemble </w:t>
      </w:r>
      <w:r>
        <w:t>des bactéries du tube digestif</w:t>
      </w:r>
      <w:r w:rsidR="005F64CD">
        <w:t xml:space="preserve">. Le </w:t>
      </w:r>
      <w:proofErr w:type="spellStart"/>
      <w:r w:rsidR="005F64CD">
        <w:t>métagénome</w:t>
      </w:r>
      <w:proofErr w:type="spellEnd"/>
      <w:r w:rsidR="005F64CD">
        <w:t xml:space="preserve"> correspond à l’ensemble des gènes de ces bactéries.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877"/>
    <w:multiLevelType w:val="hybridMultilevel"/>
    <w:tmpl w:val="99584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12A"/>
    <w:rsid w:val="00046801"/>
    <w:rsid w:val="000A306D"/>
    <w:rsid w:val="000D1DBA"/>
    <w:rsid w:val="000E6448"/>
    <w:rsid w:val="00123D78"/>
    <w:rsid w:val="001252A7"/>
    <w:rsid w:val="00132F04"/>
    <w:rsid w:val="0013516F"/>
    <w:rsid w:val="00181EA0"/>
    <w:rsid w:val="001853CA"/>
    <w:rsid w:val="001D357E"/>
    <w:rsid w:val="00201698"/>
    <w:rsid w:val="00251E91"/>
    <w:rsid w:val="002664E1"/>
    <w:rsid w:val="00276730"/>
    <w:rsid w:val="002C0762"/>
    <w:rsid w:val="002C15B9"/>
    <w:rsid w:val="002C3DAA"/>
    <w:rsid w:val="002C59FC"/>
    <w:rsid w:val="002E6DA0"/>
    <w:rsid w:val="002E7693"/>
    <w:rsid w:val="003141EB"/>
    <w:rsid w:val="00315440"/>
    <w:rsid w:val="00357BC2"/>
    <w:rsid w:val="0036775B"/>
    <w:rsid w:val="003E4A27"/>
    <w:rsid w:val="003E6086"/>
    <w:rsid w:val="003F7044"/>
    <w:rsid w:val="00410761"/>
    <w:rsid w:val="0042512B"/>
    <w:rsid w:val="00435DF7"/>
    <w:rsid w:val="00445DEE"/>
    <w:rsid w:val="004640F2"/>
    <w:rsid w:val="00477AC0"/>
    <w:rsid w:val="004827AF"/>
    <w:rsid w:val="004E563D"/>
    <w:rsid w:val="004F376B"/>
    <w:rsid w:val="0050493C"/>
    <w:rsid w:val="00551336"/>
    <w:rsid w:val="005528D4"/>
    <w:rsid w:val="005910F4"/>
    <w:rsid w:val="005C3C7E"/>
    <w:rsid w:val="005C74D1"/>
    <w:rsid w:val="005F64CD"/>
    <w:rsid w:val="00636B3B"/>
    <w:rsid w:val="00686D0B"/>
    <w:rsid w:val="006A7AF5"/>
    <w:rsid w:val="006C19EF"/>
    <w:rsid w:val="006C35AD"/>
    <w:rsid w:val="006C6084"/>
    <w:rsid w:val="007225F9"/>
    <w:rsid w:val="0073132D"/>
    <w:rsid w:val="007371C8"/>
    <w:rsid w:val="007371CB"/>
    <w:rsid w:val="00743544"/>
    <w:rsid w:val="0075292C"/>
    <w:rsid w:val="00772855"/>
    <w:rsid w:val="007C432C"/>
    <w:rsid w:val="0082500F"/>
    <w:rsid w:val="008468A0"/>
    <w:rsid w:val="008538A2"/>
    <w:rsid w:val="008961D5"/>
    <w:rsid w:val="008F7F38"/>
    <w:rsid w:val="00954003"/>
    <w:rsid w:val="009D620B"/>
    <w:rsid w:val="00A20CF8"/>
    <w:rsid w:val="00A425ED"/>
    <w:rsid w:val="00A4658D"/>
    <w:rsid w:val="00A5136D"/>
    <w:rsid w:val="00A90FDF"/>
    <w:rsid w:val="00A9506A"/>
    <w:rsid w:val="00AA1CBC"/>
    <w:rsid w:val="00AD287C"/>
    <w:rsid w:val="00AE559A"/>
    <w:rsid w:val="00B01CA8"/>
    <w:rsid w:val="00B10252"/>
    <w:rsid w:val="00B1408E"/>
    <w:rsid w:val="00B24714"/>
    <w:rsid w:val="00B45636"/>
    <w:rsid w:val="00B56AE3"/>
    <w:rsid w:val="00B60833"/>
    <w:rsid w:val="00B6587A"/>
    <w:rsid w:val="00B71013"/>
    <w:rsid w:val="00B7339F"/>
    <w:rsid w:val="00B84006"/>
    <w:rsid w:val="00B87CB3"/>
    <w:rsid w:val="00BC512A"/>
    <w:rsid w:val="00BD0738"/>
    <w:rsid w:val="00BD5CF2"/>
    <w:rsid w:val="00BE6A09"/>
    <w:rsid w:val="00C00255"/>
    <w:rsid w:val="00C10A75"/>
    <w:rsid w:val="00C30101"/>
    <w:rsid w:val="00C6198E"/>
    <w:rsid w:val="00C92AF4"/>
    <w:rsid w:val="00C9520C"/>
    <w:rsid w:val="00CB03F6"/>
    <w:rsid w:val="00CC19AC"/>
    <w:rsid w:val="00CE3619"/>
    <w:rsid w:val="00CE4399"/>
    <w:rsid w:val="00CE55E2"/>
    <w:rsid w:val="00CE7997"/>
    <w:rsid w:val="00D20ED4"/>
    <w:rsid w:val="00D47A34"/>
    <w:rsid w:val="00D70573"/>
    <w:rsid w:val="00D740A0"/>
    <w:rsid w:val="00D93F1C"/>
    <w:rsid w:val="00D9472D"/>
    <w:rsid w:val="00DA57FD"/>
    <w:rsid w:val="00DD37E4"/>
    <w:rsid w:val="00DF0DCA"/>
    <w:rsid w:val="00E1211E"/>
    <w:rsid w:val="00E1536D"/>
    <w:rsid w:val="00E30981"/>
    <w:rsid w:val="00E36756"/>
    <w:rsid w:val="00E85AF9"/>
    <w:rsid w:val="00E9427C"/>
    <w:rsid w:val="00EA7FAB"/>
    <w:rsid w:val="00EB0651"/>
    <w:rsid w:val="00ED3A4F"/>
    <w:rsid w:val="00EE39B8"/>
    <w:rsid w:val="00F2363D"/>
    <w:rsid w:val="00F32E2E"/>
    <w:rsid w:val="00F467D9"/>
    <w:rsid w:val="00F52490"/>
    <w:rsid w:val="00F74E91"/>
    <w:rsid w:val="00F8361C"/>
    <w:rsid w:val="00F92245"/>
    <w:rsid w:val="00FB05EF"/>
    <w:rsid w:val="00FB19AF"/>
    <w:rsid w:val="00FC370A"/>
    <w:rsid w:val="00FC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7BC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A1C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1C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1C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1C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1C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CBC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FC53B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6D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6D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6D0B"/>
    <w:rPr>
      <w:vertAlign w:val="superscript"/>
    </w:rPr>
  </w:style>
  <w:style w:type="paragraph" w:styleId="Rvision">
    <w:name w:val="Revision"/>
    <w:hidden/>
    <w:uiPriority w:val="99"/>
    <w:semiHidden/>
    <w:rsid w:val="00E1536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C3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7BC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A1C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1C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1C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1C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1C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CBC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FC53B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6D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6D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6D0B"/>
    <w:rPr>
      <w:vertAlign w:val="superscript"/>
    </w:rPr>
  </w:style>
  <w:style w:type="paragraph" w:styleId="Rvision">
    <w:name w:val="Revision"/>
    <w:hidden/>
    <w:uiPriority w:val="99"/>
    <w:semiHidden/>
    <w:rsid w:val="00E1536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C3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ko.Ehrlich@jouy.inr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DE25-B08B-41F8-9D6F-DB87FD53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Zuber</dc:creator>
  <cp:lastModifiedBy>almoreau</cp:lastModifiedBy>
  <cp:revision>5</cp:revision>
  <dcterms:created xsi:type="dcterms:W3CDTF">2014-07-07T07:25:00Z</dcterms:created>
  <dcterms:modified xsi:type="dcterms:W3CDTF">2014-07-08T14:20:00Z</dcterms:modified>
</cp:coreProperties>
</file>